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СПРАВКА.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на оплату труда Главы  поселения и 4 муниципальных служащих</w:t>
      </w:r>
      <w:r>
        <w:rPr>
          <w:rFonts w:ascii="Times New Roman" w:hAnsi="Times New Roman"/>
          <w:sz w:val="28"/>
          <w:szCs w:val="28"/>
          <w:lang w:val="ru-RU"/>
        </w:rPr>
        <w:t xml:space="preserve">  за </w:t>
      </w:r>
      <w:r>
        <w:rPr>
          <w:rFonts w:ascii="Times New Roman" w:hAnsi="Times New Roman"/>
          <w:sz w:val="28"/>
          <w:szCs w:val="28"/>
        </w:rPr>
        <w:t>1 квартал 2025 года составили 644,4 тыс. рублей.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LibreOffice/7.6.2.1$Windows_X86_64 LibreOffice_project/56f7684011345957bbf33a7ee678afaf4d2ba333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2025-05-13T15:22:24Z</dcterms:created>
  <dc:creator/>
  <dc:description/>
  <dc:language>ru-RU</dc:language>
  <cp:lastModifiedBy/>
  <dcterms:modified xsi:type="dcterms:W3CDTF">2025-05-13T15:25:02Z</dcterms:modified>
  <cp:revision>1</cp:revision>
  <dc:subject/>
  <dc:title/>
</cp:coreProperties>
</file>